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53DE" w14:textId="04CB4C58" w:rsidR="00713948" w:rsidRDefault="009F78C0" w:rsidP="009F78C0">
      <w:pPr>
        <w:jc w:val="center"/>
        <w:rPr>
          <w:b/>
          <w:bCs/>
          <w:sz w:val="28"/>
          <w:szCs w:val="28"/>
        </w:rPr>
      </w:pPr>
      <w:r w:rsidRPr="00B84757">
        <w:rPr>
          <w:b/>
          <w:bCs/>
          <w:sz w:val="28"/>
          <w:szCs w:val="28"/>
        </w:rPr>
        <w:t xml:space="preserve">Popis indikátorů </w:t>
      </w:r>
      <w:r w:rsidR="007D1199">
        <w:rPr>
          <w:b/>
          <w:bCs/>
          <w:sz w:val="28"/>
          <w:szCs w:val="28"/>
        </w:rPr>
        <w:t>pro Vysokorychlostní internet</w:t>
      </w:r>
    </w:p>
    <w:p w14:paraId="0ED76EEE" w14:textId="13219DD3" w:rsidR="007D1199" w:rsidRDefault="007D1199" w:rsidP="007D1199">
      <w:pPr>
        <w:pStyle w:val="Textpoznpodarou"/>
        <w:spacing w:before="120" w:after="120"/>
        <w:jc w:val="both"/>
        <w:rPr>
          <w:rFonts w:eastAsia="Times New Roman" w:cstheme="minorHAnsi"/>
          <w:bCs/>
          <w:color w:val="000000" w:themeColor="text1"/>
          <w:sz w:val="22"/>
          <w:szCs w:val="22"/>
        </w:rPr>
      </w:pPr>
      <w:r w:rsidRPr="007D1199">
        <w:rPr>
          <w:rFonts w:eastAsia="Times New Roman" w:cstheme="minorHAnsi"/>
          <w:b/>
          <w:color w:val="000000" w:themeColor="text1"/>
          <w:sz w:val="22"/>
          <w:szCs w:val="22"/>
        </w:rPr>
        <w:t>Počet podniků pobírajících podporu</w:t>
      </w:r>
    </w:p>
    <w:p w14:paraId="0BB06C71" w14:textId="4C03F9A8" w:rsidR="007D1199" w:rsidRPr="007D1199" w:rsidRDefault="007D1199" w:rsidP="007D1199">
      <w:pPr>
        <w:pStyle w:val="Textpoznpodarou"/>
        <w:spacing w:before="120" w:after="120"/>
        <w:jc w:val="both"/>
        <w:rPr>
          <w:rFonts w:eastAsia="Times New Roman" w:cstheme="minorHAnsi"/>
          <w:bCs/>
          <w:color w:val="000000" w:themeColor="text1"/>
          <w:sz w:val="22"/>
          <w:szCs w:val="22"/>
        </w:rPr>
      </w:pPr>
      <w:r w:rsidRPr="007D1199">
        <w:rPr>
          <w:sz w:val="22"/>
          <w:szCs w:val="22"/>
        </w:rPr>
        <w:t>Počet podniků, které obdržely podporu ze strukturálních fondů. Podnik: organizace produkující produkty nebo služby k uspokojení potřeb trhu a za účelem dosažení zisku. Právní forma podniku může být různá (OSVČ, sdružení apod.).</w:t>
      </w:r>
    </w:p>
    <w:p w14:paraId="79C75189" w14:textId="23DA4A25" w:rsidR="007D1199" w:rsidRDefault="007D1199" w:rsidP="007D1199">
      <w:pPr>
        <w:pStyle w:val="Textpoznpodarou"/>
        <w:spacing w:before="120" w:after="120"/>
        <w:jc w:val="both"/>
        <w:rPr>
          <w:rFonts w:eastAsia="Times New Roman" w:cstheme="minorHAnsi"/>
          <w:b/>
          <w:color w:val="000000" w:themeColor="text1"/>
          <w:sz w:val="22"/>
          <w:szCs w:val="22"/>
        </w:rPr>
      </w:pPr>
      <w:r w:rsidRPr="007D1199">
        <w:rPr>
          <w:rFonts w:eastAsia="Times New Roman" w:cstheme="minorHAnsi"/>
          <w:b/>
          <w:color w:val="000000" w:themeColor="text1"/>
          <w:sz w:val="22"/>
          <w:szCs w:val="22"/>
        </w:rPr>
        <w:t>Počet podniků pobírajících granty</w:t>
      </w:r>
    </w:p>
    <w:p w14:paraId="60F005C5" w14:textId="77777777" w:rsidR="007D1199" w:rsidRDefault="007D1199" w:rsidP="007D1199">
      <w:pPr>
        <w:pStyle w:val="Textpoznpodarou"/>
        <w:spacing w:before="120" w:after="120"/>
        <w:jc w:val="both"/>
        <w:rPr>
          <w:rFonts w:eastAsia="Times New Roman" w:cstheme="minorHAnsi"/>
          <w:bCs/>
          <w:sz w:val="22"/>
          <w:szCs w:val="22"/>
        </w:rPr>
      </w:pPr>
      <w:r w:rsidRPr="007D1199">
        <w:rPr>
          <w:rFonts w:eastAsia="Times New Roman" w:cstheme="minorHAnsi"/>
          <w:bCs/>
          <w:sz w:val="22"/>
          <w:szCs w:val="22"/>
        </w:rPr>
        <w:t xml:space="preserve">Počet podpořených firem, které obdržely podporu ve formě nenávratné přímé finanční pomoci. Do indikátoru se započítávají pouze úspěšně podpořené firmy, tzn. z projektů, které úspěšně ukončily svou realizaci. </w:t>
      </w:r>
    </w:p>
    <w:p w14:paraId="1A5F094D" w14:textId="5FD09BA6" w:rsidR="007D1199" w:rsidRPr="007D1199" w:rsidRDefault="007D1199" w:rsidP="007D1199">
      <w:pPr>
        <w:pStyle w:val="Textpoznpodarou"/>
        <w:spacing w:before="120" w:after="120"/>
        <w:jc w:val="both"/>
        <w:rPr>
          <w:rFonts w:eastAsia="Times New Roman" w:cstheme="minorHAnsi"/>
          <w:bCs/>
          <w:sz w:val="22"/>
          <w:szCs w:val="22"/>
        </w:rPr>
      </w:pPr>
      <w:r w:rsidRPr="007D1199">
        <w:rPr>
          <w:rFonts w:eastAsia="Times New Roman" w:cstheme="minorHAnsi"/>
          <w:bCs/>
          <w:sz w:val="22"/>
          <w:szCs w:val="22"/>
        </w:rPr>
        <w:t xml:space="preserve">Firma: firma, produkující výrobky či služby k uspokojení potřeb trhu s cílem dosáhnout zisk. </w:t>
      </w:r>
    </w:p>
    <w:p w14:paraId="4AF49339" w14:textId="731A47EE" w:rsidR="007D1199" w:rsidRPr="007D1199" w:rsidRDefault="007D1199" w:rsidP="007D1199">
      <w:pPr>
        <w:pStyle w:val="Textpoznpodarou"/>
        <w:spacing w:before="120" w:after="120"/>
        <w:jc w:val="both"/>
        <w:rPr>
          <w:rFonts w:eastAsia="Times New Roman" w:cstheme="minorHAnsi"/>
          <w:bCs/>
          <w:sz w:val="22"/>
          <w:szCs w:val="22"/>
        </w:rPr>
      </w:pPr>
      <w:r w:rsidRPr="007D1199">
        <w:rPr>
          <w:rFonts w:eastAsia="Times New Roman" w:cstheme="minorHAnsi"/>
          <w:bCs/>
          <w:sz w:val="22"/>
          <w:szCs w:val="22"/>
        </w:rPr>
        <w:t>Tento indikátor měří počet podniků bez ohledu na počet podpor, které jedna firma získala. Tzn. pokud jedna firma získá více podpor (dotací), vykazuje se stále jako jedna).</w:t>
      </w:r>
    </w:p>
    <w:p w14:paraId="6E8FF3FF" w14:textId="2F96D4AB" w:rsidR="007D1199" w:rsidRDefault="007D1199" w:rsidP="007D1199">
      <w:pPr>
        <w:pStyle w:val="Textpoznpodarou"/>
        <w:spacing w:before="120" w:after="120"/>
        <w:jc w:val="both"/>
        <w:rPr>
          <w:rFonts w:eastAsia="Times New Roman" w:cstheme="minorHAnsi"/>
          <w:b/>
          <w:color w:val="000000" w:themeColor="text1"/>
          <w:sz w:val="22"/>
          <w:szCs w:val="22"/>
        </w:rPr>
      </w:pPr>
      <w:r w:rsidRPr="007D1199">
        <w:rPr>
          <w:rFonts w:eastAsia="Times New Roman" w:cstheme="minorHAnsi"/>
          <w:b/>
          <w:color w:val="000000" w:themeColor="text1"/>
          <w:sz w:val="22"/>
          <w:szCs w:val="22"/>
        </w:rPr>
        <w:t>Míra pokrytí sítí nové generace (NGA)</w:t>
      </w:r>
    </w:p>
    <w:p w14:paraId="0708A1DB" w14:textId="77777777" w:rsidR="007D1199" w:rsidRPr="007D1199" w:rsidRDefault="007D1199" w:rsidP="007D1199">
      <w:pPr>
        <w:pStyle w:val="Textpoznpodarou"/>
        <w:spacing w:before="120" w:after="120"/>
        <w:jc w:val="both"/>
        <w:rPr>
          <w:sz w:val="22"/>
          <w:szCs w:val="22"/>
        </w:rPr>
      </w:pPr>
      <w:r w:rsidRPr="007D1199">
        <w:rPr>
          <w:sz w:val="22"/>
          <w:szCs w:val="22"/>
        </w:rPr>
        <w:t>Dostupnost širokopásmového pokrytí vysokorychlostním přístupem k internetu (30 Mbps) v České republice.</w:t>
      </w:r>
    </w:p>
    <w:p w14:paraId="239067F6" w14:textId="0F185A50" w:rsidR="007D1199" w:rsidRDefault="007D1199" w:rsidP="007D1199">
      <w:pPr>
        <w:pStyle w:val="Textpoznpodarou"/>
        <w:spacing w:before="120" w:after="120"/>
        <w:jc w:val="both"/>
        <w:rPr>
          <w:rFonts w:eastAsia="Times New Roman" w:cstheme="minorHAnsi"/>
          <w:b/>
          <w:color w:val="000000" w:themeColor="text1"/>
          <w:sz w:val="22"/>
          <w:szCs w:val="22"/>
        </w:rPr>
      </w:pPr>
      <w:r w:rsidRPr="007D1199">
        <w:rPr>
          <w:rFonts w:eastAsia="Times New Roman" w:cstheme="minorHAnsi"/>
          <w:b/>
          <w:color w:val="000000" w:themeColor="text1"/>
          <w:sz w:val="22"/>
          <w:szCs w:val="22"/>
        </w:rPr>
        <w:t>Domácnosti, které mají nově přístup k širokopásmovým sítím s přenosovou rychlostí nejméně 30 Mb/s</w:t>
      </w:r>
    </w:p>
    <w:p w14:paraId="344D73FF" w14:textId="695E5702" w:rsidR="007D1199" w:rsidRPr="007D1199" w:rsidRDefault="007D1199" w:rsidP="007D1199">
      <w:pPr>
        <w:pStyle w:val="Textpoznpodarou"/>
        <w:spacing w:before="120" w:after="120"/>
        <w:jc w:val="both"/>
        <w:rPr>
          <w:rFonts w:eastAsia="Times New Roman" w:cstheme="minorHAnsi"/>
          <w:b/>
          <w:color w:val="000000" w:themeColor="text1"/>
          <w:sz w:val="22"/>
          <w:szCs w:val="22"/>
        </w:rPr>
      </w:pPr>
      <w:r w:rsidRPr="007D1199">
        <w:rPr>
          <w:sz w:val="22"/>
          <w:szCs w:val="22"/>
        </w:rPr>
        <w:t>Počet domácností nově s vysokorychlostním připojením k internetu, tj. připojení umožňující přenosovou rychlost dat 30 mB/s a více (ADSL, připojení přes kabelovou televizi, bezdrátové připojení, WIFI, vysokorychlostní mobilní připojení, atd.), které dřív neměly žádné připojení, nebo výrazně pomalejší. Připojení musí být přímým následkem realizace projektu. Tento indikátor počítá možnost připojení a ne už, jestli se daná domáctnost k internetu skutečně připojuje.</w:t>
      </w:r>
    </w:p>
    <w:p w14:paraId="00DEF78B" w14:textId="77777777" w:rsidR="007D1199" w:rsidRDefault="007D1199" w:rsidP="007D1199">
      <w:pPr>
        <w:pStyle w:val="Textpoznpodarou"/>
        <w:spacing w:before="120" w:after="120"/>
        <w:jc w:val="both"/>
        <w:rPr>
          <w:sz w:val="22"/>
          <w:szCs w:val="22"/>
        </w:rPr>
      </w:pPr>
      <w:r w:rsidRPr="007D1199">
        <w:rPr>
          <w:rFonts w:eastAsia="Times New Roman" w:cstheme="minorHAnsi"/>
          <w:b/>
          <w:color w:val="000000" w:themeColor="text1"/>
          <w:sz w:val="22"/>
          <w:szCs w:val="22"/>
        </w:rPr>
        <w:t>Počet pořízených digitálních technických map</w:t>
      </w:r>
    </w:p>
    <w:p w14:paraId="05B69F00" w14:textId="097F6605" w:rsidR="007D1199" w:rsidRPr="00181FAE" w:rsidRDefault="007D1199" w:rsidP="007D1199">
      <w:pPr>
        <w:pStyle w:val="Textpoznpodarou"/>
        <w:spacing w:before="120" w:after="120"/>
        <w:jc w:val="both"/>
        <w:rPr>
          <w:sz w:val="22"/>
          <w:szCs w:val="22"/>
        </w:rPr>
      </w:pPr>
      <w:r w:rsidRPr="007D1199">
        <w:rPr>
          <w:sz w:val="22"/>
          <w:szCs w:val="22"/>
        </w:rPr>
        <w:t xml:space="preserve">Počet pořízených či rozšířených digitálních technických map v rámci realizovaného projektu v aktivitě </w:t>
      </w:r>
      <w:r>
        <w:rPr>
          <w:sz w:val="22"/>
          <w:szCs w:val="22"/>
        </w:rPr>
        <w:t>„</w:t>
      </w:r>
      <w:r w:rsidRPr="007D1199">
        <w:rPr>
          <w:sz w:val="22"/>
          <w:szCs w:val="22"/>
        </w:rPr>
        <w:t>Pořízení digitálních technických map" (např. investice do SW,</w:t>
      </w:r>
      <w:r>
        <w:rPr>
          <w:sz w:val="22"/>
          <w:szCs w:val="22"/>
        </w:rPr>
        <w:t xml:space="preserve"> </w:t>
      </w:r>
      <w:r w:rsidRPr="007D1199">
        <w:rPr>
          <w:sz w:val="22"/>
          <w:szCs w:val="22"/>
        </w:rPr>
        <w:t>IS, HW koncových a ostatních zařízení s</w:t>
      </w:r>
      <w:r>
        <w:rPr>
          <w:sz w:val="22"/>
          <w:szCs w:val="22"/>
        </w:rPr>
        <w:t> </w:t>
      </w:r>
      <w:r w:rsidRPr="007D1199">
        <w:rPr>
          <w:sz w:val="22"/>
          <w:szCs w:val="22"/>
        </w:rPr>
        <w:t>funkčností digitálních map přímo souvisejících, zajištění sběru dat pro digitální technické mapy, včetně služeb expertního poradenství pro návrh a implementaci).</w:t>
      </w:r>
    </w:p>
    <w:p w14:paraId="0DFF9F0A" w14:textId="77777777" w:rsidR="00181FAE" w:rsidRDefault="00181FAE" w:rsidP="00181FAE">
      <w:pPr>
        <w:pStyle w:val="Bezmezer"/>
        <w:spacing w:before="120" w:after="120"/>
        <w:jc w:val="both"/>
        <w:rPr>
          <w:rFonts w:eastAsia="Times New Roman" w:cstheme="minorHAnsi"/>
          <w:color w:val="FF0000"/>
        </w:rPr>
      </w:pPr>
    </w:p>
    <w:p w14:paraId="32646E94" w14:textId="062BF32E" w:rsidR="00181FAE" w:rsidRPr="00B84757" w:rsidRDefault="00181FAE" w:rsidP="009F78C0">
      <w:pPr>
        <w:jc w:val="center"/>
        <w:rPr>
          <w:b/>
          <w:bCs/>
          <w:sz w:val="28"/>
          <w:szCs w:val="28"/>
        </w:rPr>
      </w:pPr>
    </w:p>
    <w:sectPr w:rsidR="00181FAE" w:rsidRPr="00B84757" w:rsidSect="00CC5E40">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74E9" w14:textId="77777777" w:rsidR="009F78C0" w:rsidRDefault="009F78C0" w:rsidP="00677FE0">
      <w:pPr>
        <w:spacing w:after="0" w:line="240" w:lineRule="auto"/>
      </w:pPr>
      <w:r>
        <w:separator/>
      </w:r>
    </w:p>
  </w:endnote>
  <w:endnote w:type="continuationSeparator" w:id="0">
    <w:p w14:paraId="673B93B4" w14:textId="77777777" w:rsidR="009F78C0" w:rsidRDefault="009F78C0"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3ED2" w14:textId="77777777" w:rsidR="009F78C0" w:rsidRDefault="009F78C0" w:rsidP="00677FE0">
      <w:pPr>
        <w:spacing w:after="0" w:line="240" w:lineRule="auto"/>
      </w:pPr>
      <w:r>
        <w:separator/>
      </w:r>
    </w:p>
  </w:footnote>
  <w:footnote w:type="continuationSeparator" w:id="0">
    <w:p w14:paraId="3EB294C0" w14:textId="77777777" w:rsidR="009F78C0" w:rsidRDefault="009F78C0" w:rsidP="00677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0B44" w14:textId="5252B36C" w:rsidR="009F78C0" w:rsidRDefault="009F78C0">
    <w:pPr>
      <w:pStyle w:val="Zhlav"/>
    </w:pPr>
    <w:r>
      <w:rPr>
        <w:noProof/>
      </w:rPr>
      <w:drawing>
        <wp:anchor distT="0" distB="0" distL="114300" distR="114300" simplePos="0" relativeHeight="251658240" behindDoc="0" locked="0" layoutInCell="1" allowOverlap="1" wp14:anchorId="68AD55EE" wp14:editId="62409FFA">
          <wp:simplePos x="0" y="0"/>
          <wp:positionH relativeFrom="column">
            <wp:posOffset>5507009</wp:posOffset>
          </wp:positionH>
          <wp:positionV relativeFrom="paragraph">
            <wp:posOffset>-340818</wp:posOffset>
          </wp:positionV>
          <wp:extent cx="1146142" cy="407487"/>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42" cy="40748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C23B5"/>
    <w:multiLevelType w:val="multilevel"/>
    <w:tmpl w:val="E8A48D7C"/>
    <w:numStyleLink w:val="VariantaA-sla"/>
  </w:abstractNum>
  <w:abstractNum w:abstractNumId="6" w15:restartNumberingAfterBreak="0">
    <w:nsid w:val="02E83A8B"/>
    <w:multiLevelType w:val="multilevel"/>
    <w:tmpl w:val="E8BAE50A"/>
    <w:numStyleLink w:val="VariantaA-odrky"/>
  </w:abstractNum>
  <w:abstractNum w:abstractNumId="7" w15:restartNumberingAfterBreak="0">
    <w:nsid w:val="0402680D"/>
    <w:multiLevelType w:val="multilevel"/>
    <w:tmpl w:val="E8BAE50A"/>
    <w:numStyleLink w:val="VariantaA-odrky"/>
  </w:abstractNum>
  <w:abstractNum w:abstractNumId="8"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9" w15:restartNumberingAfterBreak="0">
    <w:nsid w:val="0479347F"/>
    <w:multiLevelType w:val="multilevel"/>
    <w:tmpl w:val="3320A8B2"/>
    <w:numStyleLink w:val="VariantaB-odrky"/>
  </w:abstractNum>
  <w:abstractNum w:abstractNumId="10" w15:restartNumberingAfterBreak="0">
    <w:nsid w:val="04D643EE"/>
    <w:multiLevelType w:val="multilevel"/>
    <w:tmpl w:val="E8A48D7C"/>
    <w:numStyleLink w:val="VariantaA-sla"/>
  </w:abstractNum>
  <w:abstractNum w:abstractNumId="11" w15:restartNumberingAfterBreak="0">
    <w:nsid w:val="0BDD4BBA"/>
    <w:multiLevelType w:val="multilevel"/>
    <w:tmpl w:val="E8BAE50A"/>
    <w:numStyleLink w:val="VariantaA-odrky"/>
  </w:abstractNum>
  <w:abstractNum w:abstractNumId="12"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130316F8"/>
    <w:multiLevelType w:val="multilevel"/>
    <w:tmpl w:val="3320A8B2"/>
    <w:numStyleLink w:val="VariantaB-odrky"/>
  </w:abstractNum>
  <w:abstractNum w:abstractNumId="14" w15:restartNumberingAfterBreak="0">
    <w:nsid w:val="13FB2F1F"/>
    <w:multiLevelType w:val="multilevel"/>
    <w:tmpl w:val="E8BAE50A"/>
    <w:numStyleLink w:val="VariantaA-odrky"/>
  </w:abstractNum>
  <w:abstractNum w:abstractNumId="15" w15:restartNumberingAfterBreak="0">
    <w:nsid w:val="15587B24"/>
    <w:multiLevelType w:val="multilevel"/>
    <w:tmpl w:val="E8BAE50A"/>
    <w:numStyleLink w:val="VariantaA-odrky"/>
  </w:abstractNum>
  <w:abstractNum w:abstractNumId="1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7" w15:restartNumberingAfterBreak="0">
    <w:nsid w:val="191872DA"/>
    <w:multiLevelType w:val="multilevel"/>
    <w:tmpl w:val="E8A48D7C"/>
    <w:numStyleLink w:val="VariantaA-sla"/>
  </w:abstractNum>
  <w:abstractNum w:abstractNumId="18" w15:restartNumberingAfterBreak="0">
    <w:nsid w:val="19987FCF"/>
    <w:multiLevelType w:val="multilevel"/>
    <w:tmpl w:val="0D8ABE32"/>
    <w:numStyleLink w:val="VariantaB-sla"/>
  </w:abstractNum>
  <w:abstractNum w:abstractNumId="19" w15:restartNumberingAfterBreak="0">
    <w:nsid w:val="1D3068A6"/>
    <w:multiLevelType w:val="multilevel"/>
    <w:tmpl w:val="3320A8B2"/>
    <w:numStyleLink w:val="VariantaB-odrky"/>
  </w:abstractNum>
  <w:abstractNum w:abstractNumId="20" w15:restartNumberingAfterBreak="0">
    <w:nsid w:val="1D464EC2"/>
    <w:multiLevelType w:val="multilevel"/>
    <w:tmpl w:val="E8BAE50A"/>
    <w:numStyleLink w:val="VariantaA-odrky"/>
  </w:abstractNum>
  <w:abstractNum w:abstractNumId="21" w15:restartNumberingAfterBreak="0">
    <w:nsid w:val="1EAB39CE"/>
    <w:multiLevelType w:val="multilevel"/>
    <w:tmpl w:val="E8BAE50A"/>
    <w:numStyleLink w:val="VariantaA-odrky"/>
  </w:abstractNum>
  <w:abstractNum w:abstractNumId="22" w15:restartNumberingAfterBreak="0">
    <w:nsid w:val="289A5EA2"/>
    <w:multiLevelType w:val="multilevel"/>
    <w:tmpl w:val="E8BAE50A"/>
    <w:numStyleLink w:val="VariantaA-odrky"/>
  </w:abstractNum>
  <w:abstractNum w:abstractNumId="23" w15:restartNumberingAfterBreak="0">
    <w:nsid w:val="28AB573E"/>
    <w:multiLevelType w:val="multilevel"/>
    <w:tmpl w:val="3320A8B2"/>
    <w:numStyleLink w:val="VariantaB-odrky"/>
  </w:abstractNum>
  <w:abstractNum w:abstractNumId="24" w15:restartNumberingAfterBreak="0">
    <w:nsid w:val="2A5F2D39"/>
    <w:multiLevelType w:val="multilevel"/>
    <w:tmpl w:val="E8BAE50A"/>
    <w:numStyleLink w:val="VariantaA-odrky"/>
  </w:abstractNum>
  <w:abstractNum w:abstractNumId="25" w15:restartNumberingAfterBreak="0">
    <w:nsid w:val="2DBB2CE6"/>
    <w:multiLevelType w:val="multilevel"/>
    <w:tmpl w:val="E8BAE50A"/>
    <w:numStyleLink w:val="VariantaA-odrky"/>
  </w:abstractNum>
  <w:abstractNum w:abstractNumId="26" w15:restartNumberingAfterBreak="0">
    <w:nsid w:val="355131EF"/>
    <w:multiLevelType w:val="multilevel"/>
    <w:tmpl w:val="E8A48D7C"/>
    <w:numStyleLink w:val="VariantaA-sla"/>
  </w:abstractNum>
  <w:abstractNum w:abstractNumId="27" w15:restartNumberingAfterBreak="0">
    <w:nsid w:val="3E08066E"/>
    <w:multiLevelType w:val="hybridMultilevel"/>
    <w:tmpl w:val="C4CC58A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A306389"/>
    <w:multiLevelType w:val="multilevel"/>
    <w:tmpl w:val="E8BAE50A"/>
    <w:numStyleLink w:val="VariantaA-odrky"/>
  </w:abstractNum>
  <w:abstractNum w:abstractNumId="29"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3290926"/>
    <w:multiLevelType w:val="multilevel"/>
    <w:tmpl w:val="E8BAE50A"/>
    <w:numStyleLink w:val="VariantaA-odrky"/>
  </w:abstractNum>
  <w:abstractNum w:abstractNumId="31" w15:restartNumberingAfterBreak="0">
    <w:nsid w:val="533902EA"/>
    <w:multiLevelType w:val="multilevel"/>
    <w:tmpl w:val="E8BAE50A"/>
    <w:numStyleLink w:val="VariantaA-odrky"/>
  </w:abstractNum>
  <w:abstractNum w:abstractNumId="32" w15:restartNumberingAfterBreak="0">
    <w:nsid w:val="571C11E2"/>
    <w:multiLevelType w:val="multilevel"/>
    <w:tmpl w:val="E8A48D7C"/>
    <w:numStyleLink w:val="VariantaA-sla"/>
  </w:abstractNum>
  <w:abstractNum w:abstractNumId="33"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34" w15:restartNumberingAfterBreak="0">
    <w:nsid w:val="5AF35F43"/>
    <w:multiLevelType w:val="multilevel"/>
    <w:tmpl w:val="0D8ABE32"/>
    <w:numStyleLink w:val="VariantaB-sla"/>
  </w:abstractNum>
  <w:num w:numId="1">
    <w:abstractNumId w:val="16"/>
  </w:num>
  <w:num w:numId="2">
    <w:abstractNumId w:val="33"/>
  </w:num>
  <w:num w:numId="3">
    <w:abstractNumId w:val="19"/>
  </w:num>
  <w:num w:numId="4">
    <w:abstractNumId w:val="14"/>
  </w:num>
  <w:num w:numId="5">
    <w:abstractNumId w:val="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29"/>
  </w:num>
  <w:num w:numId="7">
    <w:abstractNumId w:val="7"/>
  </w:num>
  <w:num w:numId="8">
    <w:abstractNumId w:val="32"/>
  </w:num>
  <w:num w:numId="9">
    <w:abstractNumId w:val="5"/>
  </w:num>
  <w:num w:numId="10">
    <w:abstractNumId w:val="2"/>
  </w:num>
  <w:num w:numId="11">
    <w:abstractNumId w:val="1"/>
  </w:num>
  <w:num w:numId="12">
    <w:abstractNumId w:val="0"/>
  </w:num>
  <w:num w:numId="13">
    <w:abstractNumId w:val="31"/>
  </w:num>
  <w:num w:numId="14">
    <w:abstractNumId w:val="4"/>
  </w:num>
  <w:num w:numId="15">
    <w:abstractNumId w:val="3"/>
  </w:num>
  <w:num w:numId="16">
    <w:abstractNumId w:val="29"/>
  </w:num>
  <w:num w:numId="17">
    <w:abstractNumId w:val="20"/>
  </w:num>
  <w:num w:numId="18">
    <w:abstractNumId w:val="6"/>
  </w:num>
  <w:num w:numId="19">
    <w:abstractNumId w:val="12"/>
  </w:num>
  <w:num w:numId="20">
    <w:abstractNumId w:val="8"/>
  </w:num>
  <w:num w:numId="21">
    <w:abstractNumId w:val="26"/>
  </w:num>
  <w:num w:numId="22">
    <w:abstractNumId w:val="10"/>
  </w:num>
  <w:num w:numId="23">
    <w:abstractNumId w:val="21"/>
  </w:num>
  <w:num w:numId="24">
    <w:abstractNumId w:val="11"/>
  </w:num>
  <w:num w:numId="25">
    <w:abstractNumId w:val="15"/>
  </w:num>
  <w:num w:numId="26">
    <w:abstractNumId w:val="28"/>
  </w:num>
  <w:num w:numId="27">
    <w:abstractNumId w:val="25"/>
  </w:num>
  <w:num w:numId="28">
    <w:abstractNumId w:val="24"/>
  </w:num>
  <w:num w:numId="29">
    <w:abstractNumId w:val="18"/>
  </w:num>
  <w:num w:numId="30">
    <w:abstractNumId w:val="30"/>
  </w:num>
  <w:num w:numId="31">
    <w:abstractNumId w:val="34"/>
  </w:num>
  <w:num w:numId="32">
    <w:abstractNumId w:val="22"/>
  </w:num>
  <w:num w:numId="33">
    <w:abstractNumId w:val="17"/>
  </w:num>
  <w:num w:numId="34">
    <w:abstractNumId w:val="9"/>
  </w:num>
  <w:num w:numId="35">
    <w:abstractNumId w:val="23"/>
  </w:num>
  <w:num w:numId="36">
    <w:abstractNumId w:val="13"/>
  </w:num>
  <w:num w:numId="3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C0"/>
    <w:rsid w:val="00015306"/>
    <w:rsid w:val="0002674B"/>
    <w:rsid w:val="0004162E"/>
    <w:rsid w:val="0004786B"/>
    <w:rsid w:val="00063405"/>
    <w:rsid w:val="000809B9"/>
    <w:rsid w:val="00090B40"/>
    <w:rsid w:val="00095A0A"/>
    <w:rsid w:val="000B1B3D"/>
    <w:rsid w:val="000C4CAF"/>
    <w:rsid w:val="00121485"/>
    <w:rsid w:val="001268B0"/>
    <w:rsid w:val="00144C6B"/>
    <w:rsid w:val="0018051B"/>
    <w:rsid w:val="00181FAE"/>
    <w:rsid w:val="001B1E4A"/>
    <w:rsid w:val="001D27C0"/>
    <w:rsid w:val="001E74C3"/>
    <w:rsid w:val="001F6937"/>
    <w:rsid w:val="00220DE3"/>
    <w:rsid w:val="0025290D"/>
    <w:rsid w:val="00260372"/>
    <w:rsid w:val="00262DAF"/>
    <w:rsid w:val="00285AED"/>
    <w:rsid w:val="002E2442"/>
    <w:rsid w:val="002F0E8C"/>
    <w:rsid w:val="00310FA0"/>
    <w:rsid w:val="00320481"/>
    <w:rsid w:val="003250CB"/>
    <w:rsid w:val="00363201"/>
    <w:rsid w:val="0039063C"/>
    <w:rsid w:val="003A46A8"/>
    <w:rsid w:val="003A51AA"/>
    <w:rsid w:val="003B565A"/>
    <w:rsid w:val="003D00A1"/>
    <w:rsid w:val="0041427F"/>
    <w:rsid w:val="004509E5"/>
    <w:rsid w:val="00486FB9"/>
    <w:rsid w:val="004C212A"/>
    <w:rsid w:val="00500232"/>
    <w:rsid w:val="00504668"/>
    <w:rsid w:val="005455E1"/>
    <w:rsid w:val="005502BD"/>
    <w:rsid w:val="00556787"/>
    <w:rsid w:val="00582276"/>
    <w:rsid w:val="005C2560"/>
    <w:rsid w:val="005F4A94"/>
    <w:rsid w:val="005F7585"/>
    <w:rsid w:val="00605759"/>
    <w:rsid w:val="00650C6C"/>
    <w:rsid w:val="00652FE6"/>
    <w:rsid w:val="00667898"/>
    <w:rsid w:val="00677FE0"/>
    <w:rsid w:val="006D04EF"/>
    <w:rsid w:val="006E2FB0"/>
    <w:rsid w:val="007102D2"/>
    <w:rsid w:val="00713948"/>
    <w:rsid w:val="00753A27"/>
    <w:rsid w:val="00775F0F"/>
    <w:rsid w:val="0079342A"/>
    <w:rsid w:val="007B4949"/>
    <w:rsid w:val="007D1199"/>
    <w:rsid w:val="007F0BC6"/>
    <w:rsid w:val="00831374"/>
    <w:rsid w:val="00857580"/>
    <w:rsid w:val="00865238"/>
    <w:rsid w:val="008667BF"/>
    <w:rsid w:val="0088145C"/>
    <w:rsid w:val="00895645"/>
    <w:rsid w:val="008A7851"/>
    <w:rsid w:val="008C3782"/>
    <w:rsid w:val="008D4A32"/>
    <w:rsid w:val="008D593A"/>
    <w:rsid w:val="008E7760"/>
    <w:rsid w:val="00922001"/>
    <w:rsid w:val="00922C17"/>
    <w:rsid w:val="00942DDD"/>
    <w:rsid w:val="009516A8"/>
    <w:rsid w:val="0097705C"/>
    <w:rsid w:val="009F393D"/>
    <w:rsid w:val="009F78C0"/>
    <w:rsid w:val="009F7F46"/>
    <w:rsid w:val="00A000BF"/>
    <w:rsid w:val="00A0587E"/>
    <w:rsid w:val="00A22C53"/>
    <w:rsid w:val="00A275BC"/>
    <w:rsid w:val="00A401F8"/>
    <w:rsid w:val="00A464B4"/>
    <w:rsid w:val="00A63D6B"/>
    <w:rsid w:val="00A84B52"/>
    <w:rsid w:val="00A8660F"/>
    <w:rsid w:val="00A95C48"/>
    <w:rsid w:val="00AA7056"/>
    <w:rsid w:val="00AB31C6"/>
    <w:rsid w:val="00AB523B"/>
    <w:rsid w:val="00AD7E40"/>
    <w:rsid w:val="00B1477A"/>
    <w:rsid w:val="00B20993"/>
    <w:rsid w:val="00B42E96"/>
    <w:rsid w:val="00B50EE6"/>
    <w:rsid w:val="00B52185"/>
    <w:rsid w:val="00B84757"/>
    <w:rsid w:val="00B9753A"/>
    <w:rsid w:val="00BB479C"/>
    <w:rsid w:val="00BC4720"/>
    <w:rsid w:val="00BD75A2"/>
    <w:rsid w:val="00C2017A"/>
    <w:rsid w:val="00C2026B"/>
    <w:rsid w:val="00C20470"/>
    <w:rsid w:val="00C34B2F"/>
    <w:rsid w:val="00C4641B"/>
    <w:rsid w:val="00C6690E"/>
    <w:rsid w:val="00C703C5"/>
    <w:rsid w:val="00C805F2"/>
    <w:rsid w:val="00C96EFE"/>
    <w:rsid w:val="00CC5E40"/>
    <w:rsid w:val="00D1569F"/>
    <w:rsid w:val="00D20B1E"/>
    <w:rsid w:val="00D22462"/>
    <w:rsid w:val="00D230AC"/>
    <w:rsid w:val="00D32489"/>
    <w:rsid w:val="00D3349E"/>
    <w:rsid w:val="00D60CB1"/>
    <w:rsid w:val="00D73CB8"/>
    <w:rsid w:val="00DA7591"/>
    <w:rsid w:val="00E32798"/>
    <w:rsid w:val="00E33CC8"/>
    <w:rsid w:val="00E51C91"/>
    <w:rsid w:val="00E667C1"/>
    <w:rsid w:val="00EC3F88"/>
    <w:rsid w:val="00ED36D8"/>
    <w:rsid w:val="00EE6BD7"/>
    <w:rsid w:val="00F0689D"/>
    <w:rsid w:val="00FB0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7FEA6B"/>
  <w15:chartTrackingRefBased/>
  <w15:docId w15:val="{E4EFEB67-51F3-4648-BA69-40C60E21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spacing w:after="0"/>
    </w:pPr>
  </w:style>
  <w:style w:type="paragraph" w:styleId="slovanseznam2">
    <w:name w:val="List Number 2"/>
    <w:aliases w:val="Číslovaný seznam A 2"/>
    <w:basedOn w:val="Normln"/>
    <w:uiPriority w:val="15"/>
    <w:qFormat/>
    <w:rsid w:val="001B1E4A"/>
    <w:pPr>
      <w:numPr>
        <w:ilvl w:val="1"/>
        <w:numId w:val="33"/>
      </w:numPr>
      <w:spacing w:after="0"/>
      <w:contextualSpacing/>
    </w:pPr>
  </w:style>
  <w:style w:type="paragraph" w:styleId="slovanseznam3">
    <w:name w:val="List Number 3"/>
    <w:aliases w:val="Číslovaný seznam A 3"/>
    <w:basedOn w:val="Normln"/>
    <w:uiPriority w:val="15"/>
    <w:qFormat/>
    <w:rsid w:val="001B1E4A"/>
    <w:pPr>
      <w:numPr>
        <w:ilvl w:val="2"/>
        <w:numId w:val="33"/>
      </w:numPr>
      <w:spacing w:after="0"/>
      <w:contextualSpacing/>
    </w:pPr>
  </w:style>
  <w:style w:type="paragraph" w:styleId="slovanseznam4">
    <w:name w:val="List Number 4"/>
    <w:aliases w:val="Číslovaný seznam A 4"/>
    <w:basedOn w:val="Normln"/>
    <w:uiPriority w:val="15"/>
    <w:qFormat/>
    <w:rsid w:val="001B1E4A"/>
    <w:pPr>
      <w:numPr>
        <w:ilvl w:val="3"/>
        <w:numId w:val="33"/>
      </w:numPr>
      <w:spacing w:after="0"/>
      <w:contextualSpacing/>
    </w:pPr>
  </w:style>
  <w:style w:type="paragraph" w:styleId="slovanseznam5">
    <w:name w:val="List Number 5"/>
    <w:aliases w:val="Číslovaný seznam A 5"/>
    <w:basedOn w:val="Normln"/>
    <w:uiPriority w:val="15"/>
    <w:qFormat/>
    <w:rsid w:val="001B1E4A"/>
    <w:pPr>
      <w:numPr>
        <w:ilvl w:val="4"/>
        <w:numId w:val="33"/>
      </w:numPr>
      <w:spacing w:after="0"/>
      <w:contextualSpacing/>
    </w:pPr>
  </w:style>
  <w:style w:type="paragraph" w:customStyle="1" w:styleId="slovanseznamB">
    <w:name w:val="Číslovaný seznam B"/>
    <w:basedOn w:val="Normln"/>
    <w:uiPriority w:val="16"/>
    <w:qFormat/>
    <w:rsid w:val="009F7F46"/>
    <w:pPr>
      <w:numPr>
        <w:numId w:val="31"/>
      </w:numPr>
      <w:spacing w:after="0"/>
    </w:pPr>
  </w:style>
  <w:style w:type="paragraph" w:customStyle="1" w:styleId="slovanseznamB2">
    <w:name w:val="Číslovaný seznam B 2"/>
    <w:basedOn w:val="Normln"/>
    <w:uiPriority w:val="16"/>
    <w:qFormat/>
    <w:rsid w:val="009F7F46"/>
    <w:pPr>
      <w:numPr>
        <w:ilvl w:val="1"/>
        <w:numId w:val="31"/>
      </w:numPr>
      <w:spacing w:after="0"/>
    </w:pPr>
  </w:style>
  <w:style w:type="paragraph" w:customStyle="1" w:styleId="slovanseznamB3">
    <w:name w:val="Číslovaný seznam B 3"/>
    <w:basedOn w:val="Normln"/>
    <w:uiPriority w:val="16"/>
    <w:qFormat/>
    <w:rsid w:val="009F7F46"/>
    <w:pPr>
      <w:numPr>
        <w:ilvl w:val="2"/>
        <w:numId w:val="31"/>
      </w:numPr>
      <w:spacing w:after="0"/>
    </w:pPr>
  </w:style>
  <w:style w:type="paragraph" w:customStyle="1" w:styleId="slovanseznamB4">
    <w:name w:val="Číslovaný seznam B 4"/>
    <w:basedOn w:val="Normln"/>
    <w:uiPriority w:val="16"/>
    <w:qFormat/>
    <w:rsid w:val="009F7F46"/>
    <w:pPr>
      <w:numPr>
        <w:ilvl w:val="3"/>
        <w:numId w:val="31"/>
      </w:numPr>
      <w:spacing w:after="0"/>
    </w:pPr>
  </w:style>
  <w:style w:type="paragraph" w:customStyle="1" w:styleId="slovanseznamB5">
    <w:name w:val="Číslovaný seznam B 5"/>
    <w:basedOn w:val="Normln"/>
    <w:uiPriority w:val="16"/>
    <w:qFormat/>
    <w:rsid w:val="009F7F46"/>
    <w:pPr>
      <w:numPr>
        <w:ilvl w:val="4"/>
        <w:numId w:val="31"/>
      </w:numPr>
      <w:spacing w:after="0"/>
    </w:pPr>
  </w:style>
  <w:style w:type="paragraph" w:styleId="Seznamsodrkami3">
    <w:name w:val="List Bullet 3"/>
    <w:aliases w:val="Seznam s odrážkami A 3"/>
    <w:basedOn w:val="Normln"/>
    <w:uiPriority w:val="10"/>
    <w:qFormat/>
    <w:rsid w:val="00262DAF"/>
    <w:pPr>
      <w:numPr>
        <w:ilvl w:val="2"/>
        <w:numId w:val="32"/>
      </w:numPr>
      <w:spacing w:after="0"/>
      <w:contextualSpacing/>
    </w:pPr>
  </w:style>
  <w:style w:type="paragraph" w:styleId="Seznamsodrkami4">
    <w:name w:val="List Bullet 4"/>
    <w:aliases w:val="Seznam s odrážkami A 4"/>
    <w:basedOn w:val="Normln"/>
    <w:uiPriority w:val="10"/>
    <w:qFormat/>
    <w:rsid w:val="00262DAF"/>
    <w:pPr>
      <w:numPr>
        <w:ilvl w:val="3"/>
        <w:numId w:val="32"/>
      </w:numPr>
      <w:spacing w:after="0"/>
      <w:contextualSpacing/>
    </w:pPr>
  </w:style>
  <w:style w:type="paragraph" w:styleId="Seznamsodrkami5">
    <w:name w:val="List Bullet 5"/>
    <w:aliases w:val="Seznam s odrážkami A 5"/>
    <w:basedOn w:val="Normln"/>
    <w:uiPriority w:val="10"/>
    <w:qFormat/>
    <w:rsid w:val="00262DAF"/>
    <w:pPr>
      <w:numPr>
        <w:ilvl w:val="4"/>
        <w:numId w:val="32"/>
      </w:numPr>
      <w:spacing w:after="0"/>
    </w:pPr>
  </w:style>
  <w:style w:type="paragraph" w:styleId="Seznamsodrkami">
    <w:name w:val="List Bullet"/>
    <w:aliases w:val="Seznam s odrážkami A"/>
    <w:basedOn w:val="Normln"/>
    <w:uiPriority w:val="10"/>
    <w:qFormat/>
    <w:rsid w:val="00262DAF"/>
    <w:pPr>
      <w:numPr>
        <w:numId w:val="32"/>
      </w:numPr>
      <w:spacing w:after="0"/>
      <w:contextualSpacing/>
    </w:pPr>
  </w:style>
  <w:style w:type="paragraph" w:styleId="Seznamsodrkami2">
    <w:name w:val="List Bullet 2"/>
    <w:aliases w:val="Seznam s odrážkami A 2"/>
    <w:basedOn w:val="Normln"/>
    <w:uiPriority w:val="10"/>
    <w:qFormat/>
    <w:rsid w:val="00262DAF"/>
    <w:pPr>
      <w:numPr>
        <w:ilvl w:val="1"/>
        <w:numId w:val="32"/>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spacing w:after="0"/>
    </w:pPr>
  </w:style>
  <w:style w:type="paragraph" w:customStyle="1" w:styleId="SeznamsodrkamiB2">
    <w:name w:val="Seznam s odrážkami B 2"/>
    <w:basedOn w:val="Normln"/>
    <w:uiPriority w:val="11"/>
    <w:qFormat/>
    <w:rsid w:val="007102D2"/>
    <w:pPr>
      <w:numPr>
        <w:ilvl w:val="1"/>
        <w:numId w:val="36"/>
      </w:numPr>
      <w:spacing w:after="0"/>
    </w:pPr>
  </w:style>
  <w:style w:type="paragraph" w:customStyle="1" w:styleId="SeznamsodrkamiB3">
    <w:name w:val="Seznam s odrážkami B 3"/>
    <w:basedOn w:val="Normln"/>
    <w:uiPriority w:val="11"/>
    <w:qFormat/>
    <w:rsid w:val="007102D2"/>
    <w:pPr>
      <w:numPr>
        <w:ilvl w:val="2"/>
        <w:numId w:val="36"/>
      </w:numPr>
      <w:spacing w:after="0"/>
    </w:pPr>
  </w:style>
  <w:style w:type="paragraph" w:customStyle="1" w:styleId="SeznamsodrkamiB4">
    <w:name w:val="Seznam s odrážkami B 4"/>
    <w:basedOn w:val="Normln"/>
    <w:uiPriority w:val="11"/>
    <w:qFormat/>
    <w:rsid w:val="007102D2"/>
    <w:pPr>
      <w:numPr>
        <w:ilvl w:val="3"/>
        <w:numId w:val="36"/>
      </w:numPr>
      <w:spacing w:after="0"/>
    </w:pPr>
  </w:style>
  <w:style w:type="paragraph" w:customStyle="1" w:styleId="SeznamsodrkamiB5">
    <w:name w:val="Seznam s odrážkami B 5"/>
    <w:basedOn w:val="Normln"/>
    <w:uiPriority w:val="11"/>
    <w:qFormat/>
    <w:rsid w:val="007102D2"/>
    <w:pPr>
      <w:numPr>
        <w:ilvl w:val="4"/>
        <w:numId w:val="36"/>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customStyle="1" w:styleId="text-align-justify">
    <w:name w:val="text-align-justify"/>
    <w:basedOn w:val="Normln"/>
    <w:rsid w:val="009F78C0"/>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styleId="Siln">
    <w:name w:val="Strong"/>
    <w:basedOn w:val="Standardnpsmoodstavce"/>
    <w:uiPriority w:val="22"/>
    <w:qFormat/>
    <w:rsid w:val="009F78C0"/>
    <w:rPr>
      <w:b/>
      <w:bCs/>
    </w:rPr>
  </w:style>
  <w:style w:type="paragraph" w:styleId="Bezmezer">
    <w:name w:val="No Spacing"/>
    <w:link w:val="BezmezerChar"/>
    <w:uiPriority w:val="1"/>
    <w:qFormat/>
    <w:rsid w:val="00181FAE"/>
    <w:pPr>
      <w:spacing w:after="0" w:line="240" w:lineRule="auto"/>
    </w:pPr>
    <w:rPr>
      <w:rFonts w:eastAsiaTheme="minorEastAsia"/>
      <w:lang w:eastAsia="cs-CZ"/>
    </w:rPr>
  </w:style>
  <w:style w:type="character" w:customStyle="1" w:styleId="BezmezerChar">
    <w:name w:val="Bez mezer Char"/>
    <w:basedOn w:val="Standardnpsmoodstavce"/>
    <w:link w:val="Bezmezer"/>
    <w:uiPriority w:val="1"/>
    <w:qFormat/>
    <w:rsid w:val="00181FAE"/>
    <w:rPr>
      <w:rFonts w:eastAsiaTheme="minorEastAsia"/>
      <w:lang w:eastAsia="cs-CZ"/>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unhideWhenUsed/>
    <w:qFormat/>
    <w:rsid w:val="00181FAE"/>
    <w:pPr>
      <w:spacing w:after="0" w:line="240" w:lineRule="auto"/>
    </w:pPr>
    <w:rPr>
      <w:color w:val="auto"/>
      <w:sz w:val="20"/>
      <w:szCs w:val="20"/>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qFormat/>
    <w:rsid w:val="00181FAE"/>
    <w:rPr>
      <w:sz w:val="20"/>
      <w:szCs w:val="20"/>
    </w:rPr>
  </w:style>
  <w:style w:type="character" w:styleId="Znakapoznpodarou">
    <w:name w:val="footnote reference"/>
    <w:aliases w:val="BVI fnr,Footnote symbol,Footnote Reference Superscript,Appel note de bas de p,Appel note de bas de page,Légende,Char Car Car Car Car,Voetnootverwijzing,PGI Fußnote Ziffer,Footnote Reference Number,Légende;Char Car Car Car Car,Ref"/>
    <w:basedOn w:val="Standardnpsmoodstavce"/>
    <w:uiPriority w:val="99"/>
    <w:unhideWhenUsed/>
    <w:rsid w:val="00181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65373">
      <w:bodyDiv w:val="1"/>
      <w:marLeft w:val="0"/>
      <w:marRight w:val="0"/>
      <w:marTop w:val="0"/>
      <w:marBottom w:val="0"/>
      <w:divBdr>
        <w:top w:val="none" w:sz="0" w:space="0" w:color="auto"/>
        <w:left w:val="none" w:sz="0" w:space="0" w:color="auto"/>
        <w:bottom w:val="none" w:sz="0" w:space="0" w:color="auto"/>
        <w:right w:val="none" w:sz="0" w:space="0" w:color="auto"/>
      </w:divBdr>
      <w:divsChild>
        <w:div w:id="1936862504">
          <w:marLeft w:val="0"/>
          <w:marRight w:val="0"/>
          <w:marTop w:val="0"/>
          <w:marBottom w:val="0"/>
          <w:divBdr>
            <w:top w:val="none" w:sz="0" w:space="0" w:color="auto"/>
            <w:left w:val="none" w:sz="0" w:space="0" w:color="auto"/>
            <w:bottom w:val="none" w:sz="0" w:space="0" w:color="auto"/>
            <w:right w:val="none" w:sz="0" w:space="0" w:color="auto"/>
          </w:divBdr>
        </w:div>
        <w:div w:id="2022855653">
          <w:marLeft w:val="0"/>
          <w:marRight w:val="0"/>
          <w:marTop w:val="0"/>
          <w:marBottom w:val="0"/>
          <w:divBdr>
            <w:top w:val="none" w:sz="0" w:space="0" w:color="auto"/>
            <w:left w:val="none" w:sz="0" w:space="0" w:color="auto"/>
            <w:bottom w:val="none" w:sz="0" w:space="0" w:color="auto"/>
            <w:right w:val="none" w:sz="0" w:space="0" w:color="auto"/>
          </w:divBdr>
        </w:div>
        <w:div w:id="188640229">
          <w:marLeft w:val="0"/>
          <w:marRight w:val="0"/>
          <w:marTop w:val="0"/>
          <w:marBottom w:val="0"/>
          <w:divBdr>
            <w:top w:val="none" w:sz="0" w:space="0" w:color="auto"/>
            <w:left w:val="none" w:sz="0" w:space="0" w:color="auto"/>
            <w:bottom w:val="none" w:sz="0" w:space="0" w:color="auto"/>
            <w:right w:val="none" w:sz="0" w:space="0" w:color="auto"/>
          </w:divBdr>
        </w:div>
        <w:div w:id="1662539485">
          <w:marLeft w:val="0"/>
          <w:marRight w:val="0"/>
          <w:marTop w:val="0"/>
          <w:marBottom w:val="0"/>
          <w:divBdr>
            <w:top w:val="none" w:sz="0" w:space="0" w:color="auto"/>
            <w:left w:val="none" w:sz="0" w:space="0" w:color="auto"/>
            <w:bottom w:val="none" w:sz="0" w:space="0" w:color="auto"/>
            <w:right w:val="none" w:sz="0" w:space="0" w:color="auto"/>
          </w:divBdr>
        </w:div>
        <w:div w:id="1971129748">
          <w:marLeft w:val="0"/>
          <w:marRight w:val="0"/>
          <w:marTop w:val="0"/>
          <w:marBottom w:val="0"/>
          <w:divBdr>
            <w:top w:val="none" w:sz="0" w:space="0" w:color="auto"/>
            <w:left w:val="none" w:sz="0" w:space="0" w:color="auto"/>
            <w:bottom w:val="none" w:sz="0" w:space="0" w:color="auto"/>
            <w:right w:val="none" w:sz="0" w:space="0" w:color="auto"/>
          </w:divBdr>
        </w:div>
        <w:div w:id="2144999852">
          <w:marLeft w:val="0"/>
          <w:marRight w:val="0"/>
          <w:marTop w:val="0"/>
          <w:marBottom w:val="0"/>
          <w:divBdr>
            <w:top w:val="none" w:sz="0" w:space="0" w:color="auto"/>
            <w:left w:val="none" w:sz="0" w:space="0" w:color="auto"/>
            <w:bottom w:val="none" w:sz="0" w:space="0" w:color="auto"/>
            <w:right w:val="none" w:sz="0" w:space="0" w:color="auto"/>
          </w:divBdr>
        </w:div>
        <w:div w:id="1737514347">
          <w:marLeft w:val="0"/>
          <w:marRight w:val="0"/>
          <w:marTop w:val="0"/>
          <w:marBottom w:val="0"/>
          <w:divBdr>
            <w:top w:val="none" w:sz="0" w:space="0" w:color="auto"/>
            <w:left w:val="none" w:sz="0" w:space="0" w:color="auto"/>
            <w:bottom w:val="none" w:sz="0" w:space="0" w:color="auto"/>
            <w:right w:val="none" w:sz="0" w:space="0" w:color="auto"/>
          </w:divBdr>
        </w:div>
        <w:div w:id="1721828954">
          <w:marLeft w:val="0"/>
          <w:marRight w:val="0"/>
          <w:marTop w:val="0"/>
          <w:marBottom w:val="0"/>
          <w:divBdr>
            <w:top w:val="none" w:sz="0" w:space="0" w:color="auto"/>
            <w:left w:val="none" w:sz="0" w:space="0" w:color="auto"/>
            <w:bottom w:val="none" w:sz="0" w:space="0" w:color="auto"/>
            <w:right w:val="none" w:sz="0" w:space="0" w:color="auto"/>
          </w:divBdr>
        </w:div>
        <w:div w:id="980498178">
          <w:marLeft w:val="0"/>
          <w:marRight w:val="0"/>
          <w:marTop w:val="0"/>
          <w:marBottom w:val="0"/>
          <w:divBdr>
            <w:top w:val="none" w:sz="0" w:space="0" w:color="auto"/>
            <w:left w:val="none" w:sz="0" w:space="0" w:color="auto"/>
            <w:bottom w:val="none" w:sz="0" w:space="0" w:color="auto"/>
            <w:right w:val="none" w:sz="0" w:space="0" w:color="auto"/>
          </w:divBdr>
        </w:div>
        <w:div w:id="1292134755">
          <w:marLeft w:val="0"/>
          <w:marRight w:val="0"/>
          <w:marTop w:val="0"/>
          <w:marBottom w:val="0"/>
          <w:divBdr>
            <w:top w:val="none" w:sz="0" w:space="0" w:color="auto"/>
            <w:left w:val="none" w:sz="0" w:space="0" w:color="auto"/>
            <w:bottom w:val="none" w:sz="0" w:space="0" w:color="auto"/>
            <w:right w:val="none" w:sz="0" w:space="0" w:color="auto"/>
          </w:divBdr>
        </w:div>
        <w:div w:id="490684727">
          <w:marLeft w:val="0"/>
          <w:marRight w:val="0"/>
          <w:marTop w:val="0"/>
          <w:marBottom w:val="0"/>
          <w:divBdr>
            <w:top w:val="none" w:sz="0" w:space="0" w:color="auto"/>
            <w:left w:val="none" w:sz="0" w:space="0" w:color="auto"/>
            <w:bottom w:val="none" w:sz="0" w:space="0" w:color="auto"/>
            <w:right w:val="none" w:sz="0" w:space="0" w:color="auto"/>
          </w:divBdr>
        </w:div>
        <w:div w:id="28065979">
          <w:marLeft w:val="0"/>
          <w:marRight w:val="0"/>
          <w:marTop w:val="0"/>
          <w:marBottom w:val="0"/>
          <w:divBdr>
            <w:top w:val="none" w:sz="0" w:space="0" w:color="auto"/>
            <w:left w:val="none" w:sz="0" w:space="0" w:color="auto"/>
            <w:bottom w:val="none" w:sz="0" w:space="0" w:color="auto"/>
            <w:right w:val="none" w:sz="0" w:space="0" w:color="auto"/>
          </w:divBdr>
        </w:div>
        <w:div w:id="1818910348">
          <w:marLeft w:val="0"/>
          <w:marRight w:val="0"/>
          <w:marTop w:val="0"/>
          <w:marBottom w:val="0"/>
          <w:divBdr>
            <w:top w:val="none" w:sz="0" w:space="0" w:color="auto"/>
            <w:left w:val="none" w:sz="0" w:space="0" w:color="auto"/>
            <w:bottom w:val="none" w:sz="0" w:space="0" w:color="auto"/>
            <w:right w:val="none" w:sz="0" w:space="0" w:color="auto"/>
          </w:divBdr>
        </w:div>
      </w:divsChild>
    </w:div>
    <w:div w:id="1282806466">
      <w:bodyDiv w:val="1"/>
      <w:marLeft w:val="0"/>
      <w:marRight w:val="0"/>
      <w:marTop w:val="0"/>
      <w:marBottom w:val="0"/>
      <w:divBdr>
        <w:top w:val="none" w:sz="0" w:space="0" w:color="auto"/>
        <w:left w:val="none" w:sz="0" w:space="0" w:color="auto"/>
        <w:bottom w:val="none" w:sz="0" w:space="0" w:color="auto"/>
        <w:right w:val="none" w:sz="0" w:space="0" w:color="auto"/>
      </w:divBdr>
      <w:divsChild>
        <w:div w:id="1286736193">
          <w:marLeft w:val="0"/>
          <w:marRight w:val="0"/>
          <w:marTop w:val="0"/>
          <w:marBottom w:val="0"/>
          <w:divBdr>
            <w:top w:val="none" w:sz="0" w:space="0" w:color="auto"/>
            <w:left w:val="none" w:sz="0" w:space="0" w:color="auto"/>
            <w:bottom w:val="none" w:sz="0" w:space="0" w:color="auto"/>
            <w:right w:val="none" w:sz="0" w:space="0" w:color="auto"/>
          </w:divBdr>
        </w:div>
        <w:div w:id="403721717">
          <w:marLeft w:val="0"/>
          <w:marRight w:val="0"/>
          <w:marTop w:val="0"/>
          <w:marBottom w:val="0"/>
          <w:divBdr>
            <w:top w:val="none" w:sz="0" w:space="0" w:color="auto"/>
            <w:left w:val="none" w:sz="0" w:space="0" w:color="auto"/>
            <w:bottom w:val="none" w:sz="0" w:space="0" w:color="auto"/>
            <w:right w:val="none" w:sz="0" w:space="0" w:color="auto"/>
          </w:divBdr>
        </w:div>
        <w:div w:id="1173061378">
          <w:marLeft w:val="0"/>
          <w:marRight w:val="0"/>
          <w:marTop w:val="0"/>
          <w:marBottom w:val="0"/>
          <w:divBdr>
            <w:top w:val="none" w:sz="0" w:space="0" w:color="auto"/>
            <w:left w:val="none" w:sz="0" w:space="0" w:color="auto"/>
            <w:bottom w:val="none" w:sz="0" w:space="0" w:color="auto"/>
            <w:right w:val="none" w:sz="0" w:space="0" w:color="auto"/>
          </w:divBdr>
        </w:div>
        <w:div w:id="779645973">
          <w:marLeft w:val="0"/>
          <w:marRight w:val="0"/>
          <w:marTop w:val="0"/>
          <w:marBottom w:val="0"/>
          <w:divBdr>
            <w:top w:val="none" w:sz="0" w:space="0" w:color="auto"/>
            <w:left w:val="none" w:sz="0" w:space="0" w:color="auto"/>
            <w:bottom w:val="none" w:sz="0" w:space="0" w:color="auto"/>
            <w:right w:val="none" w:sz="0" w:space="0" w:color="auto"/>
          </w:divBdr>
        </w:div>
        <w:div w:id="1717970765">
          <w:marLeft w:val="0"/>
          <w:marRight w:val="0"/>
          <w:marTop w:val="0"/>
          <w:marBottom w:val="0"/>
          <w:divBdr>
            <w:top w:val="none" w:sz="0" w:space="0" w:color="auto"/>
            <w:left w:val="none" w:sz="0" w:space="0" w:color="auto"/>
            <w:bottom w:val="none" w:sz="0" w:space="0" w:color="auto"/>
            <w:right w:val="none" w:sz="0" w:space="0" w:color="auto"/>
          </w:divBdr>
        </w:div>
      </w:divsChild>
    </w:div>
    <w:div w:id="17082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281</Words>
  <Characters>1658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Bilík Jan</dc:creator>
  <cp:keywords/>
  <dc:description/>
  <cp:lastModifiedBy>Bilík Jan</cp:lastModifiedBy>
  <cp:revision>4</cp:revision>
  <dcterms:created xsi:type="dcterms:W3CDTF">2024-04-29T07:31:00Z</dcterms:created>
  <dcterms:modified xsi:type="dcterms:W3CDTF">2024-07-16T07:55:00Z</dcterms:modified>
</cp:coreProperties>
</file>